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D3" w:rsidRPr="00B55F39" w:rsidRDefault="007168D3" w:rsidP="00F56CDD">
      <w:pPr>
        <w:widowControl/>
        <w:spacing w:before="100" w:beforeAutospacing="1" w:after="100" w:afterAutospacing="1" w:line="600" w:lineRule="atLeast"/>
        <w:jc w:val="center"/>
        <w:outlineLvl w:val="2"/>
        <w:rPr>
          <w:rFonts w:ascii="宋体" w:eastAsia="宋体" w:hAnsi="宋体" w:cs="宋体"/>
          <w:b/>
          <w:kern w:val="0"/>
          <w:sz w:val="36"/>
          <w:szCs w:val="24"/>
        </w:rPr>
      </w:pPr>
      <w:r w:rsidRPr="00B55F39">
        <w:rPr>
          <w:rFonts w:ascii="宋体" w:eastAsia="宋体" w:hAnsi="宋体" w:cs="宋体" w:hint="eastAsia"/>
          <w:b/>
          <w:kern w:val="0"/>
          <w:sz w:val="36"/>
          <w:szCs w:val="24"/>
        </w:rPr>
        <w:t>人文与社会科学学院本科生综合测评实施方案</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b/>
          <w:bCs/>
          <w:kern w:val="0"/>
          <w:sz w:val="24"/>
          <w:szCs w:val="24"/>
        </w:rPr>
        <w:t>总则</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1、在全面贯彻大学生素质教育的指导下，本方案旨在全面推进大学生的各项发展，激励大学生合理规划自己的大学生涯。</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2、综合测评的内容根据学校的有关文件以及人文与社会科学学院学生工作的实际情况制定，着重强调学习的重要性，同时强调综合素质素养的提高，既鼓励集体精神，也肯定个性发展。</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3、综合测评程序公平、公开，并通过量化的方式客观评价。</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4、综合测评结果作为各项奖学金评定以及四年级综合测评总排名的重要依据。</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第一部分综合测评成绩的构成</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综合测评成绩主要由“学习成绩”和“德育成绩”两部分构成：</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一、学习成绩（A）</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学习成绩通过平均学分绩来衡量，以</w:t>
      </w:r>
      <w:r w:rsidR="00062259" w:rsidRPr="00B55F39">
        <w:rPr>
          <w:rFonts w:ascii="宋体" w:eastAsia="宋体" w:hAnsi="宋体" w:cs="宋体" w:hint="eastAsia"/>
          <w:kern w:val="0"/>
          <w:sz w:val="24"/>
          <w:szCs w:val="24"/>
        </w:rPr>
        <w:t>学院</w:t>
      </w:r>
      <w:r w:rsidRPr="00B55F39">
        <w:rPr>
          <w:rFonts w:ascii="宋体" w:eastAsia="宋体" w:hAnsi="宋体" w:cs="宋体" w:hint="eastAsia"/>
          <w:kern w:val="0"/>
          <w:sz w:val="24"/>
          <w:szCs w:val="24"/>
        </w:rPr>
        <w:t>统一核算的平均学分绩为准。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二、德育成绩（B）</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此项内容旨在鼓励大学生积极参加学生工作、社会活动和各项竞赛、在学术上有所创新，德育成绩考核内容包括学生工作、集体活动与获奖、发表论文、学术竞赛、社会实践、文体活动、宿舍卫生、其他减分八个部分。</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第二部分综合测评成绩的计算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综合测评总分根据两项内容进行加权计算，学习成绩（A）在综合测评总分中的权重为85%，德育成绩（B）在综合测评总分中的权重为15%。计算公式如下：</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∑＝A×85%＋B×15%</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其中学习成绩（A）按考试分数计算出平均学分绩，根据平均学分绩从高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各部分的计算方法如下：</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一、学习成绩</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学习成绩（A）="平均学分绩在本年级本专业的名次，例如，某学生平均学分绩为98，在本年级专业排名第一，则A="1；某学生平均学分绩为80，在本年级专业排名第10，则取A="10，依此类推。</w:t>
      </w:r>
    </w:p>
    <w:p w:rsidR="007168D3" w:rsidRPr="00B55F39" w:rsidRDefault="007168D3" w:rsidP="00972D86">
      <w:pPr>
        <w:widowControl/>
        <w:spacing w:before="100" w:beforeAutospacing="1" w:after="100" w:afterAutospacing="1" w:line="450" w:lineRule="atLeast"/>
        <w:ind w:firstLine="480"/>
        <w:jc w:val="left"/>
        <w:rPr>
          <w:rFonts w:ascii="宋体" w:eastAsia="宋体" w:hAnsi="宋体" w:cs="宋体"/>
          <w:kern w:val="0"/>
          <w:sz w:val="24"/>
          <w:szCs w:val="24"/>
        </w:rPr>
      </w:pPr>
      <w:r w:rsidRPr="00B55F39">
        <w:rPr>
          <w:rFonts w:ascii="宋体" w:eastAsia="宋体" w:hAnsi="宋体" w:cs="宋体" w:hint="eastAsia"/>
          <w:kern w:val="0"/>
          <w:sz w:val="24"/>
          <w:szCs w:val="24"/>
        </w:rPr>
        <w:t>其中平均学分绩的计算方法</w:t>
      </w:r>
      <w:r w:rsidR="00972D86" w:rsidRPr="00B55F39">
        <w:rPr>
          <w:rFonts w:ascii="宋体" w:eastAsia="宋体" w:hAnsi="宋体" w:cs="宋体" w:hint="eastAsia"/>
          <w:kern w:val="0"/>
          <w:sz w:val="24"/>
          <w:szCs w:val="24"/>
        </w:rPr>
        <w:t>详</w:t>
      </w:r>
      <w:r w:rsidR="00972D86" w:rsidRPr="00B55F39">
        <w:rPr>
          <w:rFonts w:ascii="宋体" w:eastAsia="宋体" w:hAnsi="宋体" w:cs="宋体"/>
          <w:kern w:val="0"/>
          <w:sz w:val="24"/>
          <w:szCs w:val="24"/>
        </w:rPr>
        <w:t>见</w:t>
      </w:r>
      <w:r w:rsidR="00972D86" w:rsidRPr="00B55F39">
        <w:rPr>
          <w:rFonts w:ascii="宋体" w:eastAsia="宋体" w:hAnsi="宋体" w:cs="宋体" w:hint="eastAsia"/>
          <w:kern w:val="0"/>
          <w:sz w:val="24"/>
          <w:szCs w:val="24"/>
        </w:rPr>
        <w:t>《人文与社会科学学院</w:t>
      </w:r>
      <w:r w:rsidR="00972D86" w:rsidRPr="00B55F39">
        <w:rPr>
          <w:rFonts w:ascii="宋体" w:eastAsia="宋体" w:hAnsi="宋体" w:cs="宋体"/>
          <w:kern w:val="0"/>
          <w:sz w:val="24"/>
          <w:szCs w:val="24"/>
        </w:rPr>
        <w:t>2020年推荐优秀应届本科毕业生免试攻读研究生工作课程认定及成绩计算细则</w:t>
      </w:r>
      <w:r w:rsidR="00972D86" w:rsidRPr="00B55F39">
        <w:rPr>
          <w:rFonts w:ascii="宋体" w:eastAsia="宋体" w:hAnsi="宋体" w:cs="宋体" w:hint="eastAsia"/>
          <w:kern w:val="0"/>
          <w:sz w:val="24"/>
          <w:szCs w:val="24"/>
        </w:rPr>
        <w:t>》</w:t>
      </w:r>
      <w:r w:rsidRPr="00B55F39">
        <w:rPr>
          <w:rFonts w:ascii="宋体" w:eastAsia="宋体" w:hAnsi="宋体" w:cs="宋体" w:hint="eastAsia"/>
          <w:kern w:val="0"/>
          <w:sz w:val="24"/>
          <w:szCs w:val="24"/>
        </w:rPr>
        <w:t>，具体计算公式如下：</w:t>
      </w:r>
    </w:p>
    <w:p w:rsidR="007168D3" w:rsidRPr="00B55F39" w:rsidRDefault="007168D3" w:rsidP="00972D86">
      <w:pPr>
        <w:spacing w:line="360" w:lineRule="auto"/>
        <w:ind w:firstLineChars="200" w:firstLine="480"/>
        <w:rPr>
          <w:rFonts w:ascii="宋体" w:eastAsia="宋体" w:hAnsi="宋体"/>
          <w:b/>
          <w:sz w:val="32"/>
          <w:szCs w:val="32"/>
        </w:rPr>
      </w:pPr>
      <w:r w:rsidRPr="00B55F39">
        <w:rPr>
          <w:rFonts w:ascii="宋体" w:eastAsia="宋体" w:hAnsi="宋体" w:cs="宋体" w:hint="eastAsia"/>
          <w:kern w:val="0"/>
          <w:sz w:val="24"/>
          <w:szCs w:val="24"/>
        </w:rPr>
        <w:t xml:space="preserve">    </w:t>
      </w:r>
      <w:r w:rsidR="00972D86" w:rsidRPr="00B55F39">
        <w:rPr>
          <w:rFonts w:ascii="宋体" w:eastAsia="宋体" w:hAnsi="宋体"/>
          <w:b/>
          <w:sz w:val="32"/>
          <w:szCs w:val="32"/>
        </w:rPr>
        <w:t>课程平均学分绩</w:t>
      </w:r>
      <w:r w:rsidR="00972D86" w:rsidRPr="00B55F39">
        <w:rPr>
          <w:rFonts w:ascii="宋体" w:eastAsia="宋体" w:hAnsi="宋体" w:hint="eastAsia"/>
          <w:b/>
          <w:sz w:val="32"/>
          <w:szCs w:val="32"/>
        </w:rPr>
        <w:t xml:space="preserve"> </w:t>
      </w:r>
      <w:r w:rsidR="00972D86" w:rsidRPr="00B55F39">
        <w:rPr>
          <w:rFonts w:ascii="宋体" w:eastAsia="宋体" w:hAnsi="宋体"/>
          <w:b/>
          <w:sz w:val="32"/>
          <w:szCs w:val="32"/>
        </w:rPr>
        <w:t xml:space="preserve">= </w:t>
      </w:r>
      <m:oMath>
        <m:f>
          <m:fPr>
            <m:ctrlPr>
              <w:rPr>
                <w:rFonts w:ascii="Cambria Math" w:eastAsia="宋体" w:hAnsi="Cambria Math"/>
                <w:b/>
                <w:sz w:val="32"/>
                <w:szCs w:val="32"/>
              </w:rPr>
            </m:ctrlPr>
          </m:fPr>
          <m:num>
            <m:nary>
              <m:naryPr>
                <m:chr m:val="∑"/>
                <m:limLoc m:val="undOvr"/>
                <m:ctrlPr>
                  <w:rPr>
                    <w:rFonts w:ascii="Cambria Math" w:eastAsia="宋体" w:hAnsi="Cambria Math"/>
                    <w:b/>
                    <w:sz w:val="32"/>
                    <w:szCs w:val="32"/>
                  </w:rPr>
                </m:ctrlPr>
              </m:naryPr>
              <m:sub>
                <m:r>
                  <m:rPr>
                    <m:sty m:val="bi"/>
                  </m:rPr>
                  <w:rPr>
                    <w:rFonts w:ascii="Cambria Math" w:eastAsia="宋体" w:hAnsi="Cambria Math" w:hint="eastAsia"/>
                    <w:sz w:val="32"/>
                    <w:szCs w:val="32"/>
                  </w:rPr>
                  <m:t>i</m:t>
                </m:r>
                <m:r>
                  <m:rPr>
                    <m:sty m:val="b"/>
                  </m:rPr>
                  <w:rPr>
                    <w:rFonts w:ascii="Cambria Math" w:eastAsia="宋体" w:hAnsi="Cambria Math" w:hint="eastAsia"/>
                    <w:sz w:val="32"/>
                    <w:szCs w:val="32"/>
                  </w:rPr>
                  <m:t>=1</m:t>
                </m:r>
              </m:sub>
              <m:sup>
                <m:r>
                  <m:rPr>
                    <m:sty m:val="bi"/>
                  </m:rPr>
                  <w:rPr>
                    <w:rFonts w:ascii="Cambria Math" w:eastAsia="宋体" w:hAnsi="Cambria Math" w:hint="eastAsia"/>
                    <w:sz w:val="32"/>
                    <w:szCs w:val="32"/>
                  </w:rPr>
                  <m:t>n</m:t>
                </m:r>
              </m:sup>
              <m:e>
                <m:r>
                  <m:rPr>
                    <m:sty m:val="b"/>
                  </m:rPr>
                  <w:rPr>
                    <w:rFonts w:ascii="Cambria Math" w:eastAsia="宋体" w:hAnsi="Cambria Math" w:hint="eastAsia"/>
                    <w:sz w:val="32"/>
                    <w:szCs w:val="32"/>
                  </w:rPr>
                  <m:t>（课程学分</m:t>
                </m:r>
                <m:r>
                  <m:rPr>
                    <m:sty m:val="b"/>
                  </m:rPr>
                  <w:rPr>
                    <w:rFonts w:ascii="MS Mincho" w:eastAsia="MS Mincho" w:hAnsi="MS Mincho" w:cs="MS Mincho" w:hint="eastAsia"/>
                    <w:sz w:val="32"/>
                    <w:szCs w:val="32"/>
                  </w:rPr>
                  <m:t>*</m:t>
                </m:r>
                <m:r>
                  <m:rPr>
                    <m:sty m:val="b"/>
                  </m:rPr>
                  <w:rPr>
                    <w:rFonts w:ascii="Cambria Math" w:eastAsia="宋体" w:hAnsi="Cambria Math" w:hint="eastAsia"/>
                    <w:sz w:val="32"/>
                    <w:szCs w:val="32"/>
                  </w:rPr>
                  <m:t>课程成绩）</m:t>
                </m:r>
              </m:e>
            </m:nary>
          </m:num>
          <m:den>
            <m:nary>
              <m:naryPr>
                <m:chr m:val="∑"/>
                <m:limLoc m:val="undOvr"/>
                <m:ctrlPr>
                  <w:rPr>
                    <w:rFonts w:ascii="Cambria Math" w:eastAsia="宋体" w:hAnsi="Cambria Math"/>
                    <w:b/>
                    <w:sz w:val="32"/>
                    <w:szCs w:val="32"/>
                  </w:rPr>
                </m:ctrlPr>
              </m:naryPr>
              <m:sub>
                <m:r>
                  <m:rPr>
                    <m:sty m:val="bi"/>
                  </m:rPr>
                  <w:rPr>
                    <w:rFonts w:ascii="Cambria Math" w:eastAsia="宋体" w:hAnsi="Cambria Math"/>
                    <w:sz w:val="32"/>
                    <w:szCs w:val="32"/>
                  </w:rPr>
                  <m:t>i</m:t>
                </m:r>
                <m:r>
                  <m:rPr>
                    <m:sty m:val="b"/>
                  </m:rPr>
                  <w:rPr>
                    <w:rFonts w:ascii="Cambria Math" w:eastAsia="宋体" w:hAnsi="Cambria Math"/>
                    <w:sz w:val="32"/>
                    <w:szCs w:val="32"/>
                  </w:rPr>
                  <m:t>=1</m:t>
                </m:r>
              </m:sub>
              <m:sup>
                <m:r>
                  <m:rPr>
                    <m:sty m:val="bi"/>
                  </m:rPr>
                  <w:rPr>
                    <w:rFonts w:ascii="Cambria Math" w:eastAsia="宋体" w:hAnsi="Cambria Math"/>
                    <w:sz w:val="32"/>
                    <w:szCs w:val="32"/>
                  </w:rPr>
                  <m:t>n</m:t>
                </m:r>
              </m:sup>
              <m:e>
                <m:r>
                  <m:rPr>
                    <m:sty m:val="b"/>
                  </m:rPr>
                  <w:rPr>
                    <w:rFonts w:ascii="Cambria Math" w:eastAsia="宋体" w:hAnsi="Cambria Math" w:hint="eastAsia"/>
                    <w:sz w:val="32"/>
                    <w:szCs w:val="32"/>
                  </w:rPr>
                  <m:t>（课程学分）</m:t>
                </m:r>
              </m:e>
            </m:nary>
          </m:den>
        </m:f>
      </m:oMath>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课程成绩评定为优、良、中、及格、不及格时，成绩依次按95分、85分、75分、65分、0分计算。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注：双学士学位专业成绩不计入平均学分绩的计算；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二、德育成绩</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德育成绩考核内容包括学生工作、集体活动与获奖、发表论文、学术竞赛、社会实践、文体活动、宿舍卫生、纪律处分八个部分（同上）。</w:t>
      </w:r>
      <w:r w:rsidR="0011703D">
        <w:rPr>
          <w:rFonts w:ascii="宋体" w:eastAsia="宋体" w:hAnsi="宋体" w:cs="宋体" w:hint="eastAsia"/>
          <w:kern w:val="0"/>
          <w:sz w:val="24"/>
          <w:szCs w:val="24"/>
        </w:rPr>
        <w:t>德育成绩及排名以明德书院公示结果为准</w:t>
      </w:r>
      <w:bookmarkStart w:id="0" w:name="_GoBack"/>
      <w:bookmarkEnd w:id="0"/>
      <w:r w:rsidR="00CF2FF7">
        <w:rPr>
          <w:rFonts w:ascii="宋体" w:eastAsia="宋体" w:hAnsi="宋体" w:cs="宋体" w:hint="eastAsia"/>
          <w:kern w:val="0"/>
          <w:sz w:val="24"/>
          <w:szCs w:val="24"/>
        </w:rPr>
        <w:t>。</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w:t>
      </w:r>
      <w:r w:rsidR="00CF2FF7">
        <w:rPr>
          <w:rFonts w:ascii="宋体" w:eastAsia="宋体" w:hAnsi="宋体" w:cs="宋体" w:hint="eastAsia"/>
          <w:kern w:val="0"/>
          <w:sz w:val="24"/>
          <w:szCs w:val="24"/>
        </w:rPr>
        <w:t>三</w:t>
      </w:r>
      <w:r w:rsidRPr="00B55F39">
        <w:rPr>
          <w:rFonts w:ascii="宋体" w:eastAsia="宋体" w:hAnsi="宋体" w:cs="宋体" w:hint="eastAsia"/>
          <w:kern w:val="0"/>
          <w:sz w:val="24"/>
          <w:szCs w:val="24"/>
        </w:rPr>
        <w:t>部分 适用对象及范围</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1、本方案适用对象为北京理工大学人文与社会科学学院正式注册的本科生。</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2、本方案实施的综合测评结果用于专业排名、评选校内优秀学生奖学金、国家奖助学金和社会捐助类奖助学金等各类奖助学金，并作为评选优秀学生和优秀学生干部等荣誉的重要依据。</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本实施办法由北京理工大学人文与社会科学学院负责解释。</w:t>
      </w:r>
    </w:p>
    <w:p w:rsidR="007168D3" w:rsidRPr="00B55F39" w:rsidRDefault="007168D3" w:rsidP="007168D3">
      <w:pPr>
        <w:widowControl/>
        <w:spacing w:before="100" w:beforeAutospacing="1" w:after="100" w:afterAutospacing="1" w:line="450" w:lineRule="atLeast"/>
        <w:jc w:val="right"/>
        <w:rPr>
          <w:rFonts w:ascii="宋体" w:eastAsia="宋体" w:hAnsi="宋体" w:cs="宋体"/>
          <w:kern w:val="0"/>
          <w:sz w:val="24"/>
          <w:szCs w:val="24"/>
        </w:rPr>
      </w:pPr>
      <w:r w:rsidRPr="00B55F39">
        <w:rPr>
          <w:rFonts w:ascii="宋体" w:eastAsia="宋体" w:hAnsi="宋体" w:cs="宋体" w:hint="eastAsia"/>
          <w:kern w:val="0"/>
          <w:sz w:val="24"/>
          <w:szCs w:val="24"/>
        </w:rPr>
        <w:t xml:space="preserve">    北京理工大学人文与社会科学学院</w:t>
      </w:r>
    </w:p>
    <w:p w:rsidR="00261DDC" w:rsidRPr="0044736E" w:rsidRDefault="007168D3" w:rsidP="0044736E">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w:t>
      </w:r>
    </w:p>
    <w:sectPr w:rsidR="00261DDC" w:rsidRPr="0044736E" w:rsidSect="00325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E8E" w:rsidRDefault="00E81E8E" w:rsidP="00E826DC">
      <w:r>
        <w:separator/>
      </w:r>
    </w:p>
  </w:endnote>
  <w:endnote w:type="continuationSeparator" w:id="0">
    <w:p w:rsidR="00E81E8E" w:rsidRDefault="00E81E8E" w:rsidP="00E8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E8E" w:rsidRDefault="00E81E8E" w:rsidP="00E826DC">
      <w:r>
        <w:separator/>
      </w:r>
    </w:p>
  </w:footnote>
  <w:footnote w:type="continuationSeparator" w:id="0">
    <w:p w:rsidR="00E81E8E" w:rsidRDefault="00E81E8E" w:rsidP="00E82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3D8E"/>
    <w:rsid w:val="00062259"/>
    <w:rsid w:val="0011703D"/>
    <w:rsid w:val="00145200"/>
    <w:rsid w:val="001C3D8E"/>
    <w:rsid w:val="001F72FF"/>
    <w:rsid w:val="001F76B4"/>
    <w:rsid w:val="003250D0"/>
    <w:rsid w:val="0044736E"/>
    <w:rsid w:val="0059178D"/>
    <w:rsid w:val="005C6372"/>
    <w:rsid w:val="005D1E44"/>
    <w:rsid w:val="007168D3"/>
    <w:rsid w:val="007930BE"/>
    <w:rsid w:val="00851F67"/>
    <w:rsid w:val="00904B97"/>
    <w:rsid w:val="00925B80"/>
    <w:rsid w:val="00972D86"/>
    <w:rsid w:val="0099502F"/>
    <w:rsid w:val="00B55F39"/>
    <w:rsid w:val="00C85777"/>
    <w:rsid w:val="00CF2FF7"/>
    <w:rsid w:val="00D0285E"/>
    <w:rsid w:val="00E81E8E"/>
    <w:rsid w:val="00E826DC"/>
    <w:rsid w:val="00EA5D41"/>
    <w:rsid w:val="00F5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ADB750-A9F8-4EDA-8A9B-231017C6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8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68D3"/>
    <w:rPr>
      <w:b/>
      <w:bCs/>
    </w:rPr>
  </w:style>
  <w:style w:type="paragraph" w:styleId="a5">
    <w:name w:val="header"/>
    <w:basedOn w:val="a"/>
    <w:link w:val="a6"/>
    <w:uiPriority w:val="99"/>
    <w:unhideWhenUsed/>
    <w:rsid w:val="00E826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826DC"/>
    <w:rPr>
      <w:sz w:val="18"/>
      <w:szCs w:val="18"/>
    </w:rPr>
  </w:style>
  <w:style w:type="paragraph" w:styleId="a7">
    <w:name w:val="footer"/>
    <w:basedOn w:val="a"/>
    <w:link w:val="a8"/>
    <w:uiPriority w:val="99"/>
    <w:unhideWhenUsed/>
    <w:rsid w:val="00E826DC"/>
    <w:pPr>
      <w:tabs>
        <w:tab w:val="center" w:pos="4153"/>
        <w:tab w:val="right" w:pos="8306"/>
      </w:tabs>
      <w:snapToGrid w:val="0"/>
      <w:jc w:val="left"/>
    </w:pPr>
    <w:rPr>
      <w:sz w:val="18"/>
      <w:szCs w:val="18"/>
    </w:rPr>
  </w:style>
  <w:style w:type="character" w:customStyle="1" w:styleId="a8">
    <w:name w:val="页脚 字符"/>
    <w:basedOn w:val="a0"/>
    <w:link w:val="a7"/>
    <w:uiPriority w:val="99"/>
    <w:rsid w:val="00E826DC"/>
    <w:rPr>
      <w:sz w:val="18"/>
      <w:szCs w:val="18"/>
    </w:rPr>
  </w:style>
  <w:style w:type="paragraph" w:styleId="a9">
    <w:name w:val="Balloon Text"/>
    <w:basedOn w:val="a"/>
    <w:link w:val="aa"/>
    <w:uiPriority w:val="99"/>
    <w:semiHidden/>
    <w:unhideWhenUsed/>
    <w:rsid w:val="00E826DC"/>
    <w:rPr>
      <w:sz w:val="18"/>
      <w:szCs w:val="18"/>
    </w:rPr>
  </w:style>
  <w:style w:type="character" w:customStyle="1" w:styleId="aa">
    <w:name w:val="批注框文本 字符"/>
    <w:basedOn w:val="a0"/>
    <w:link w:val="a9"/>
    <w:uiPriority w:val="99"/>
    <w:semiHidden/>
    <w:rsid w:val="00E826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97517">
      <w:bodyDiv w:val="1"/>
      <w:marLeft w:val="0"/>
      <w:marRight w:val="0"/>
      <w:marTop w:val="0"/>
      <w:marBottom w:val="0"/>
      <w:divBdr>
        <w:top w:val="single" w:sz="36" w:space="0" w:color="004A00"/>
        <w:left w:val="none" w:sz="0" w:space="0" w:color="auto"/>
        <w:bottom w:val="none" w:sz="0" w:space="0" w:color="auto"/>
        <w:right w:val="none" w:sz="0" w:space="0" w:color="auto"/>
      </w:divBdr>
      <w:divsChild>
        <w:div w:id="1422988884">
          <w:marLeft w:val="0"/>
          <w:marRight w:val="0"/>
          <w:marTop w:val="75"/>
          <w:marBottom w:val="0"/>
          <w:divBdr>
            <w:top w:val="none" w:sz="0" w:space="0" w:color="auto"/>
            <w:left w:val="none" w:sz="0" w:space="0" w:color="auto"/>
            <w:bottom w:val="none" w:sz="0" w:space="0" w:color="auto"/>
            <w:right w:val="none" w:sz="0" w:space="0" w:color="auto"/>
          </w:divBdr>
          <w:divsChild>
            <w:div w:id="971254916">
              <w:marLeft w:val="0"/>
              <w:marRight w:val="0"/>
              <w:marTop w:val="0"/>
              <w:marBottom w:val="0"/>
              <w:divBdr>
                <w:top w:val="none" w:sz="0" w:space="0" w:color="auto"/>
                <w:left w:val="none" w:sz="0" w:space="0" w:color="auto"/>
                <w:bottom w:val="none" w:sz="0" w:space="0" w:color="auto"/>
                <w:right w:val="none" w:sz="0" w:space="0" w:color="auto"/>
              </w:divBdr>
              <w:divsChild>
                <w:div w:id="719204247">
                  <w:marLeft w:val="0"/>
                  <w:marRight w:val="0"/>
                  <w:marTop w:val="0"/>
                  <w:marBottom w:val="0"/>
                  <w:divBdr>
                    <w:top w:val="none" w:sz="0" w:space="0" w:color="auto"/>
                    <w:left w:val="none" w:sz="0" w:space="0" w:color="auto"/>
                    <w:bottom w:val="none" w:sz="0" w:space="0" w:color="auto"/>
                    <w:right w:val="none" w:sz="0" w:space="0" w:color="auto"/>
                  </w:divBdr>
                  <w:divsChild>
                    <w:div w:id="1094399941">
                      <w:marLeft w:val="0"/>
                      <w:marRight w:val="0"/>
                      <w:marTop w:val="0"/>
                      <w:marBottom w:val="0"/>
                      <w:divBdr>
                        <w:top w:val="none" w:sz="0" w:space="0" w:color="auto"/>
                        <w:left w:val="none" w:sz="0" w:space="0" w:color="auto"/>
                        <w:bottom w:val="none" w:sz="0" w:space="0" w:color="auto"/>
                        <w:right w:val="none" w:sz="0" w:space="0" w:color="auto"/>
                      </w:divBdr>
                      <w:divsChild>
                        <w:div w:id="1274480645">
                          <w:marLeft w:val="150"/>
                          <w:marRight w:val="150"/>
                          <w:marTop w:val="150"/>
                          <w:marBottom w:val="150"/>
                          <w:divBdr>
                            <w:top w:val="none" w:sz="0" w:space="0" w:color="auto"/>
                            <w:left w:val="none" w:sz="0" w:space="0" w:color="auto"/>
                            <w:bottom w:val="none" w:sz="0" w:space="0" w:color="auto"/>
                            <w:right w:val="none" w:sz="0" w:space="0" w:color="auto"/>
                          </w:divBdr>
                        </w:div>
                        <w:div w:id="1823546675">
                          <w:marLeft w:val="300"/>
                          <w:marRight w:val="300"/>
                          <w:marTop w:val="300"/>
                          <w:marBottom w:val="300"/>
                          <w:divBdr>
                            <w:top w:val="none" w:sz="0" w:space="0" w:color="auto"/>
                            <w:left w:val="none" w:sz="0" w:space="0" w:color="auto"/>
                            <w:bottom w:val="none" w:sz="0" w:space="0" w:color="auto"/>
                            <w:right w:val="none" w:sz="0" w:space="0" w:color="auto"/>
                          </w:divBdr>
                          <w:divsChild>
                            <w:div w:id="620377353">
                              <w:marLeft w:val="0"/>
                              <w:marRight w:val="0"/>
                              <w:marTop w:val="0"/>
                              <w:marBottom w:val="0"/>
                              <w:divBdr>
                                <w:top w:val="none" w:sz="0" w:space="0" w:color="auto"/>
                                <w:left w:val="none" w:sz="0" w:space="0" w:color="auto"/>
                                <w:bottom w:val="none" w:sz="0" w:space="0" w:color="auto"/>
                                <w:right w:val="none" w:sz="0" w:space="0" w:color="auto"/>
                              </w:divBdr>
                            </w:div>
                            <w:div w:id="892499017">
                              <w:marLeft w:val="0"/>
                              <w:marRight w:val="0"/>
                              <w:marTop w:val="0"/>
                              <w:marBottom w:val="0"/>
                              <w:divBdr>
                                <w:top w:val="none" w:sz="0" w:space="0" w:color="auto"/>
                                <w:left w:val="none" w:sz="0" w:space="0" w:color="auto"/>
                                <w:bottom w:val="none" w:sz="0" w:space="0" w:color="auto"/>
                                <w:right w:val="none" w:sz="0" w:space="0" w:color="auto"/>
                              </w:divBdr>
                            </w:div>
                            <w:div w:id="908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44A94-0965-4251-92F6-F94B1C19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Administrator</cp:lastModifiedBy>
  <cp:revision>14</cp:revision>
  <dcterms:created xsi:type="dcterms:W3CDTF">2017-09-10T11:40:00Z</dcterms:created>
  <dcterms:modified xsi:type="dcterms:W3CDTF">2021-09-02T00:53:00Z</dcterms:modified>
</cp:coreProperties>
</file>