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lang w:val="e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专家评审评分标准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（共100分）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1.项目（企业）概况：（10分）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重点包括：概括介绍项目（企业）的主营业务、项目团队及股权结构、团队负责人身份及股份比例。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2.市场与行业分析：（10分）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重点包括：市场概况、市场容量估算，行业形势研判，竞争分析（SWOT分析、竞争对手分析、竞争策略等）。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3.技术与产品：（20分）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重点包括：产品研发情况、产品特色、应用场景、商业服务模式等。附本项目相关的知识产权（包含专利、注册商标、著作权等），已获得（或正在申请中）的请列出具体名称与代码。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4.团队：（20分）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重点包括：核心团队介绍，包括整体及每个成员的介绍，团队特点及能力结构等。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5.商业模式与实施方案（10分）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重点包括：产品与服务应用场景、盈利模型、成功案例，以及价格策略、渠道管理、销售策略等。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6.风险分析与控制：（10分）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重点包括：与项目相关的政策、技术、管理、市场、人员风险分析，以及应对措施。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7.创业融资（10分）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重点包括：已完成的融资额度，或融资计划（资金筹措与使用）。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8.财务业绩与预测（10分）</w:t>
      </w:r>
    </w:p>
    <w:p>
      <w:pPr>
        <w:spacing w:line="440" w:lineRule="exact"/>
        <w:ind w:firstLine="640" w:firstLineChars="200"/>
        <w:rPr>
          <w:rFonts w:hint="eastAsia" w:ascii="CESI仿宋-GB2312" w:hAnsi="CESI仿宋-GB2312" w:eastAsia="CESI仿宋-GB2312" w:cs="CESI仿宋-GB2312"/>
          <w:sz w:val="28"/>
          <w:szCs w:val="28"/>
        </w:rPr>
        <w:sectPr>
          <w:footerReference r:id="rId3" w:type="default"/>
          <w:pgSz w:w="11906" w:h="16838"/>
          <w:pgMar w:top="1985" w:right="1588" w:bottom="1985" w:left="1588" w:header="851" w:footer="1247" w:gutter="0"/>
          <w:pgNumType w:fmt="numberInDash"/>
          <w:cols w:space="720" w:num="1"/>
          <w:docGrid w:linePitch="577" w:charSpace="-1266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重点包括：以往财务业绩、未来三年财务预测。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E08526-519E-4AFC-98EA-AD675A5508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90BFAE9-483D-4151-BDFC-BD0F6CB015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7316B2-FB18-48A7-963F-F71CB4CAABBE}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  <w:embedRegular r:id="rId4" w:fontKey="{1BDB5FE9-3825-4CE0-A8EB-39BDE06908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142A8"/>
    <w:rsid w:val="2BF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2022-04-13T02:45:00Z</dcterms:created>
  <dc:creator>王姝婷</dc:creator>
  <cp:lastModifiedBy>王姝婷</cp:lastModifiedBy>
  <dcterms:modified xsi:type="dcterms:W3CDTF">2022-04-13T02:46:00Z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4BB64F90E59B48C8AD82F2E67ECBC9FD</vt:lpwstr>
  </property>
</Properties>
</file>